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F6" w:rsidRDefault="00F349F6" w:rsidP="00F349F6">
      <w:pPr>
        <w:jc w:val="center"/>
        <w:rPr>
          <w:rFonts w:ascii="Calibri" w:hAnsi="Calibri"/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color w:val="365F91" w:themeColor="accent1" w:themeShade="BF"/>
          <w:sz w:val="24"/>
          <w:szCs w:val="24"/>
        </w:rPr>
        <w:t>CONFERENCIA TEÓRICO – PRÁCTICA SOBRE LA BOLSA DE VALORES Y SU FUNCIONAMIENTO.</w:t>
      </w:r>
    </w:p>
    <w:p w:rsidR="00F349F6" w:rsidRDefault="00F349F6" w:rsidP="00F349F6">
      <w:pPr>
        <w:jc w:val="both"/>
        <w:rPr>
          <w:rFonts w:ascii="Calibri" w:hAnsi="Calibri" w:cs="Arial"/>
          <w:color w:val="000000"/>
          <w:sz w:val="20"/>
          <w:szCs w:val="20"/>
        </w:rPr>
      </w:pPr>
    </w:p>
    <w:p w:rsidR="00F349F6" w:rsidRDefault="00F349F6" w:rsidP="00F349F6">
      <w:pPr>
        <w:jc w:val="both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TEMARIO A TRATARSE</w:t>
      </w:r>
    </w:p>
    <w:p w:rsidR="00F349F6" w:rsidRDefault="00F349F6" w:rsidP="00F349F6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Qué es la Bolsa de Valores</w:t>
      </w:r>
    </w:p>
    <w:p w:rsidR="00F349F6" w:rsidRDefault="00F349F6" w:rsidP="00F349F6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Quienes pueden participar en Bolsa</w:t>
      </w:r>
    </w:p>
    <w:p w:rsidR="00F349F6" w:rsidRDefault="00F349F6" w:rsidP="00F349F6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Clasificación de los Valores: Renta Fija y Renta Variable</w:t>
      </w:r>
    </w:p>
    <w:p w:rsidR="00F349F6" w:rsidRDefault="00F349F6" w:rsidP="00F349F6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Mecanismos que provee la Bolsa de Valores de Quito al mercado para la realización de transacciones</w:t>
      </w:r>
    </w:p>
    <w:p w:rsidR="00F349F6" w:rsidRDefault="00F349F6" w:rsidP="00F349F6">
      <w:pPr>
        <w:pStyle w:val="Prrafodelista"/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Rueda a Viva Voz</w:t>
      </w:r>
    </w:p>
    <w:p w:rsidR="00F349F6" w:rsidRDefault="00F349F6" w:rsidP="00F349F6">
      <w:pPr>
        <w:pStyle w:val="Prrafodelista"/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Rueda Electrónica</w:t>
      </w:r>
    </w:p>
    <w:p w:rsidR="00F349F6" w:rsidRDefault="00F349F6" w:rsidP="00F349F6">
      <w:pPr>
        <w:pStyle w:val="Prrafodelista"/>
        <w:numPr>
          <w:ilvl w:val="1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Subasta Serializada</w:t>
      </w:r>
    </w:p>
    <w:p w:rsidR="00F349F6" w:rsidRDefault="00F349F6" w:rsidP="00F349F6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Cálculos que permiten obtener la liquidación Contrato: Valor Nominal, Valor Efectivo, Comisiones, intereses, Total Comprador y Total Vendedor.</w:t>
      </w:r>
    </w:p>
    <w:p w:rsidR="00F349F6" w:rsidRDefault="00F349F6" w:rsidP="00F349F6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Caso práctico, ha desarrollarse en el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Advanced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Trader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(AT), el mismo que será evaluado en función al grupo de estudiantes que logre realizar el mayor número de transacciones.</w:t>
      </w:r>
    </w:p>
    <w:p w:rsidR="00F349F6" w:rsidRDefault="00F349F6" w:rsidP="00F349F6">
      <w:pPr>
        <w:pStyle w:val="Prrafodelista"/>
        <w:jc w:val="both"/>
        <w:rPr>
          <w:rFonts w:ascii="Calibri" w:hAnsi="Calibri"/>
          <w:sz w:val="22"/>
          <w:szCs w:val="22"/>
        </w:rPr>
      </w:pPr>
    </w:p>
    <w:p w:rsidR="00F349F6" w:rsidRDefault="00F349F6" w:rsidP="00F349F6">
      <w:pPr>
        <w:pStyle w:val="Prrafodelista"/>
        <w:ind w:hanging="72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 w:cs="Arial"/>
          <w:b/>
          <w:color w:val="000000"/>
          <w:sz w:val="24"/>
          <w:szCs w:val="24"/>
        </w:rPr>
        <w:t>CONSIDERACIONES GENERALES:</w:t>
      </w:r>
    </w:p>
    <w:p w:rsidR="00F349F6" w:rsidRDefault="00F349F6" w:rsidP="00F349F6">
      <w:pPr>
        <w:pStyle w:val="Prrafodelista"/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La persona a cargo de este tipo de conferencias es el Eco. Diego Araujo, funcionario de la institución.</w:t>
      </w:r>
    </w:p>
    <w:p w:rsidR="00F349F6" w:rsidRDefault="00F349F6" w:rsidP="00F349F6">
      <w:pPr>
        <w:pStyle w:val="Prrafodelista"/>
        <w:numPr>
          <w:ilvl w:val="0"/>
          <w:numId w:val="2"/>
        </w:numPr>
        <w:ind w:left="709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La conferencia tiene una duración aproximada de 3 horas.</w:t>
      </w:r>
    </w:p>
    <w:p w:rsidR="00F349F6" w:rsidRDefault="00F349F6" w:rsidP="00F349F6">
      <w:pPr>
        <w:pStyle w:val="Prrafodelista"/>
        <w:numPr>
          <w:ilvl w:val="0"/>
          <w:numId w:val="2"/>
        </w:numPr>
        <w:ind w:left="709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El número </w:t>
      </w:r>
      <w:r w:rsidR="00A45AC0">
        <w:rPr>
          <w:rFonts w:ascii="Calibri" w:hAnsi="Calibri" w:cs="Arial"/>
          <w:color w:val="000000"/>
          <w:sz w:val="22"/>
          <w:szCs w:val="22"/>
        </w:rPr>
        <w:t>mínimo para esta charla es de 15</w:t>
      </w:r>
      <w:r>
        <w:rPr>
          <w:rFonts w:ascii="Calibri" w:hAnsi="Calibri" w:cs="Arial"/>
          <w:color w:val="000000"/>
          <w:sz w:val="22"/>
          <w:szCs w:val="22"/>
        </w:rPr>
        <w:t xml:space="preserve"> personas.</w:t>
      </w:r>
    </w:p>
    <w:p w:rsidR="00F349F6" w:rsidRDefault="00F349F6" w:rsidP="00F349F6">
      <w:pPr>
        <w:pStyle w:val="Prrafodelista"/>
        <w:numPr>
          <w:ilvl w:val="0"/>
          <w:numId w:val="2"/>
        </w:numPr>
        <w:ind w:left="709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El número máximo para esta charla es de 35 personas.</w:t>
      </w:r>
    </w:p>
    <w:p w:rsidR="00F349F6" w:rsidRDefault="00F349F6" w:rsidP="00F349F6">
      <w:pPr>
        <w:pStyle w:val="Prrafodelista"/>
        <w:numPr>
          <w:ilvl w:val="0"/>
          <w:numId w:val="2"/>
        </w:numPr>
        <w:ind w:left="709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El costo de la capacitación es de quince dólares más IVA (US$ 15.00) por persona. Incluye refrigerio y certificado de asistencia, así como también el material en versión digital.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Toda persona que asiste a la charla, debe cancelar este valor.</w:t>
      </w:r>
    </w:p>
    <w:p w:rsidR="00F349F6" w:rsidRDefault="00F349F6" w:rsidP="00F349F6">
      <w:pPr>
        <w:pStyle w:val="Prrafodelista"/>
        <w:numPr>
          <w:ilvl w:val="0"/>
          <w:numId w:val="2"/>
        </w:numPr>
        <w:ind w:left="720" w:hanging="45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Las conferencias se imparten únicamente en el Auditorio de la Bolsa de Valores de Quito, ubicado en la Av. Amazonas N21-252 y Jerónimo Carrión. Edificio Londres Piso 10. </w:t>
      </w:r>
    </w:p>
    <w:p w:rsidR="00F349F6" w:rsidRDefault="00F349F6" w:rsidP="00F349F6">
      <w:pPr>
        <w:pStyle w:val="Prrafodelista"/>
        <w:numPr>
          <w:ilvl w:val="0"/>
          <w:numId w:val="3"/>
        </w:numPr>
        <w:ind w:hanging="45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Las fechas y horas para estos eventos se acuerdan según la disponibilidad de la Universidad y de la Bolsa de Valores de Quito, con al menos 15 días de anticipación. Sin embargo los eventos pueden ser de lunes a viernes, en horario de 15h00 en adelante, con excepción de los sábados que serían a partir de las 9h00.</w:t>
      </w:r>
    </w:p>
    <w:p w:rsidR="00A45AC0" w:rsidRPr="00A45AC0" w:rsidRDefault="00A45AC0" w:rsidP="00A45AC0">
      <w:pPr>
        <w:pStyle w:val="Prrafodelista"/>
        <w:numPr>
          <w:ilvl w:val="0"/>
          <w:numId w:val="3"/>
        </w:numPr>
        <w:rPr>
          <w:rFonts w:ascii="Calibri" w:hAnsi="Calibri" w:cs="Arial"/>
          <w:color w:val="000000"/>
          <w:sz w:val="22"/>
          <w:szCs w:val="22"/>
        </w:rPr>
      </w:pPr>
      <w:r w:rsidRPr="00A45AC0">
        <w:rPr>
          <w:rFonts w:ascii="Calibri" w:hAnsi="Calibri" w:cs="Arial"/>
          <w:color w:val="000000"/>
          <w:sz w:val="22"/>
          <w:szCs w:val="22"/>
        </w:rPr>
        <w:t xml:space="preserve">Usted puede cancelar el valor de las inscripciones de su grupo haciendo un depósito en la cuenta corriente No. 1005031743 a nombre de la Bolsa de Valores de Quito del </w:t>
      </w:r>
      <w:proofErr w:type="spellStart"/>
      <w:r w:rsidRPr="00A45AC0">
        <w:rPr>
          <w:rFonts w:ascii="Calibri" w:hAnsi="Calibri" w:cs="Arial"/>
          <w:color w:val="000000"/>
          <w:sz w:val="22"/>
          <w:szCs w:val="22"/>
        </w:rPr>
        <w:t>Produbanco</w:t>
      </w:r>
      <w:proofErr w:type="spellEnd"/>
      <w:r w:rsidRPr="00A45AC0">
        <w:rPr>
          <w:rFonts w:ascii="Calibri" w:hAnsi="Calibri" w:cs="Arial"/>
          <w:color w:val="000000"/>
          <w:sz w:val="22"/>
          <w:szCs w:val="22"/>
        </w:rPr>
        <w:t xml:space="preserve">, una vez que conozca el valor definitivo en función del número de asistentes. Si es así, deberá enviar el comprobante de la transacción por e-mail o por fax al 2500 942, con al menos dos días de anticipación a la conferencia. </w:t>
      </w:r>
    </w:p>
    <w:p w:rsidR="00A45AC0" w:rsidRPr="00A576EF" w:rsidRDefault="00A45AC0" w:rsidP="00A576EF">
      <w:pPr>
        <w:pStyle w:val="Prrafodelista"/>
        <w:jc w:val="center"/>
        <w:rPr>
          <w:rFonts w:ascii="Calibri" w:hAnsi="Calibri" w:cs="Arial"/>
          <w:i/>
          <w:color w:val="000000"/>
          <w:sz w:val="22"/>
          <w:szCs w:val="22"/>
          <w:u w:val="single"/>
        </w:rPr>
      </w:pPr>
      <w:r w:rsidRPr="00A576EF">
        <w:rPr>
          <w:rFonts w:ascii="Calibri" w:hAnsi="Calibri" w:cs="Arial"/>
          <w:i/>
          <w:color w:val="000000"/>
          <w:sz w:val="22"/>
          <w:szCs w:val="22"/>
          <w:u w:val="single"/>
        </w:rPr>
        <w:t>Si por cualquier  razón los participantes no pudiesen asistir, esta Corporación se reserva el derecho de hacer devoluciones del dinero.</w:t>
      </w:r>
    </w:p>
    <w:p w:rsidR="00F349F6" w:rsidRPr="00A576EF" w:rsidRDefault="00F349F6" w:rsidP="00F349F6">
      <w:pPr>
        <w:pStyle w:val="Prrafodelista"/>
        <w:numPr>
          <w:ilvl w:val="0"/>
          <w:numId w:val="2"/>
        </w:numPr>
        <w:ind w:left="709" w:hanging="425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debe enviar el listado de los participantes claramente escrito en letra de imprenta o en computadora, con al menos 48 horas de anticipación, a través de correo electrónico a </w:t>
      </w:r>
      <w:hyperlink r:id="rId6" w:tooltip="mailto:paulinadiaz@bolsadequito.com" w:history="1">
        <w:r w:rsidRPr="00A576EF">
          <w:rPr>
            <w:u w:val="single"/>
          </w:rPr>
          <w:t>paulinadiaz@bolsadequito.com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; o a </w:t>
      </w:r>
      <w:hyperlink r:id="rId7" w:tooltip="mailto:diegoaraujo@bolsadequito.com" w:history="1">
        <w:r w:rsidRPr="00A576EF">
          <w:rPr>
            <w:u w:val="single"/>
          </w:rPr>
          <w:t>diegoaraujo@bolsadequito.com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o por fax al (02) 2500 942.</w:t>
      </w:r>
    </w:p>
    <w:p w:rsidR="00A56DC1" w:rsidRDefault="00A56DC1"/>
    <w:sectPr w:rsidR="00A56DC1" w:rsidSect="00A56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B44"/>
    <w:multiLevelType w:val="hybridMultilevel"/>
    <w:tmpl w:val="42F64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B4515"/>
    <w:multiLevelType w:val="hybridMultilevel"/>
    <w:tmpl w:val="578E7AD6"/>
    <w:lvl w:ilvl="0" w:tplc="7E5C2026">
      <w:start w:val="6"/>
      <w:numFmt w:val="bullet"/>
      <w:lvlText w:val=""/>
      <w:lvlJc w:val="left"/>
      <w:pPr>
        <w:ind w:left="704" w:hanging="420"/>
      </w:pPr>
      <w:rPr>
        <w:rFonts w:ascii="Wingdings" w:eastAsia="Calibri" w:hAnsi="Wingdings" w:cs="Times New Roman" w:hint="default"/>
        <w:color w:val="0000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00077"/>
    <w:multiLevelType w:val="hybridMultilevel"/>
    <w:tmpl w:val="EF44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F6"/>
    <w:rsid w:val="000B6585"/>
    <w:rsid w:val="00A45AC0"/>
    <w:rsid w:val="00A56DC1"/>
    <w:rsid w:val="00A576EF"/>
    <w:rsid w:val="00D14186"/>
    <w:rsid w:val="00F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F6"/>
    <w:pPr>
      <w:spacing w:after="0" w:line="240" w:lineRule="auto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49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49F6"/>
    <w:pPr>
      <w:ind w:left="720"/>
    </w:pPr>
    <w:rPr>
      <w:rFonts w:ascii="Verdana" w:eastAsia="Calibri" w:hAnsi="Verdana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F6"/>
    <w:pPr>
      <w:spacing w:after="0" w:line="240" w:lineRule="auto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49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49F6"/>
    <w:pPr>
      <w:ind w:left="720"/>
    </w:pPr>
    <w:rPr>
      <w:rFonts w:ascii="Verdana" w:eastAsia="Calibri" w:hAnsi="Verdan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egoaraujo@bolsadequi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diaz@bolsadequit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Bolsa de Valores de Quito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Araujo</dc:creator>
  <cp:lastModifiedBy>CESAR CASTELLS</cp:lastModifiedBy>
  <cp:revision>2</cp:revision>
  <dcterms:created xsi:type="dcterms:W3CDTF">2014-02-19T17:21:00Z</dcterms:created>
  <dcterms:modified xsi:type="dcterms:W3CDTF">2014-02-19T17:21:00Z</dcterms:modified>
</cp:coreProperties>
</file>